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AEB" w:rsidRDefault="006E5178">
      <w:pPr>
        <w:tabs>
          <w:tab w:val="left" w:pos="3882"/>
          <w:tab w:val="left" w:pos="7872"/>
        </w:tabs>
        <w:ind w:left="2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AEB" w:rsidRDefault="00AD3AEB">
      <w:pPr>
        <w:pStyle w:val="Corpsdetexte"/>
        <w:rPr>
          <w:rFonts w:ascii="Times New Roman"/>
          <w:sz w:val="20"/>
        </w:rPr>
      </w:pPr>
    </w:p>
    <w:p w:rsidR="00AD3AEB" w:rsidRDefault="00AD3AEB">
      <w:pPr>
        <w:pStyle w:val="Corpsdetexte"/>
        <w:spacing w:before="5"/>
        <w:rPr>
          <w:rFonts w:ascii="Times New Roman"/>
          <w:sz w:val="25"/>
        </w:rPr>
      </w:pPr>
    </w:p>
    <w:p w:rsidR="00AD3AEB" w:rsidRDefault="006E5178">
      <w:pPr>
        <w:pStyle w:val="Corpsdetexte"/>
        <w:spacing w:before="100"/>
        <w:ind w:left="213"/>
      </w:pPr>
      <w:r>
        <w:rPr>
          <w:color w:val="595959"/>
        </w:rPr>
        <w:t>DESENVOLVIMENTO DE CAPACIDADES DE ELABORAÇÃO DE LEIS E POLÍTICAS SOBRE DESLOCAÇÕES INTERNAS</w:t>
      </w:r>
    </w:p>
    <w:p w:rsidR="00AD3AEB" w:rsidRDefault="00AD3AEB">
      <w:pPr>
        <w:pStyle w:val="Corpsdetexte"/>
        <w:rPr>
          <w:sz w:val="28"/>
        </w:rPr>
      </w:pPr>
    </w:p>
    <w:p w:rsidR="00AD3AEB" w:rsidRDefault="00AD3AEB">
      <w:pPr>
        <w:pStyle w:val="Corpsdetexte"/>
        <w:rPr>
          <w:sz w:val="28"/>
        </w:rPr>
      </w:pPr>
    </w:p>
    <w:p w:rsidR="00AD3AEB" w:rsidRDefault="00AD3AEB">
      <w:pPr>
        <w:pStyle w:val="Corpsdetexte"/>
        <w:spacing w:before="2"/>
        <w:rPr>
          <w:sz w:val="25"/>
        </w:rPr>
      </w:pPr>
    </w:p>
    <w:p w:rsidR="00AD3AEB" w:rsidRDefault="006E5178">
      <w:pPr>
        <w:pStyle w:val="Titre"/>
      </w:pPr>
      <w:r>
        <w:rPr>
          <w:color w:val="5B9BD5"/>
        </w:rPr>
        <w:t>SESSÃO 8: ELABORAÇÃO</w:t>
      </w:r>
    </w:p>
    <w:p w:rsidR="00AD3AEB" w:rsidRDefault="00AD3AEB">
      <w:pPr>
        <w:pStyle w:val="Corpsdetexte"/>
        <w:rPr>
          <w:sz w:val="20"/>
        </w:rPr>
      </w:pPr>
    </w:p>
    <w:p w:rsidR="00AD3AEB" w:rsidRDefault="00AD3AEB">
      <w:pPr>
        <w:pStyle w:val="Corpsdetexte"/>
        <w:rPr>
          <w:sz w:val="20"/>
        </w:rPr>
      </w:pPr>
    </w:p>
    <w:p w:rsidR="00AD3AEB" w:rsidRDefault="00AD3AEB">
      <w:pPr>
        <w:pStyle w:val="Corpsdetexte"/>
        <w:rPr>
          <w:sz w:val="20"/>
        </w:rPr>
      </w:pPr>
    </w:p>
    <w:p w:rsidR="00AD3AEB" w:rsidRDefault="00AD3AEB">
      <w:pPr>
        <w:pStyle w:val="Corpsdetexte"/>
        <w:rPr>
          <w:sz w:val="20"/>
        </w:rPr>
      </w:pPr>
    </w:p>
    <w:p w:rsidR="00AD3AEB" w:rsidRDefault="00AD3AEB">
      <w:pPr>
        <w:pStyle w:val="Corpsdetexte"/>
        <w:rPr>
          <w:sz w:val="20"/>
        </w:rPr>
      </w:pPr>
    </w:p>
    <w:p w:rsidR="00AD3AEB" w:rsidRDefault="0023180B">
      <w:pPr>
        <w:pStyle w:val="Corpsdetexte"/>
        <w:spacing w:before="9"/>
        <w:rPr>
          <w:sz w:val="19"/>
        </w:rPr>
      </w:pPr>
      <w:r>
        <w:pict>
          <v:group id="_x0000_s1029" style="position:absolute;margin-left:65.4pt;margin-top:7.1pt;width:106.1pt;height:513.7pt;z-index:15728640;mso-position-horizontal-relative:page" coordorigin="1308,-99" coordsize="2122,9404">
            <v:shape id="_x0000_s1031" style="position:absolute;left:1308;top:-99;width:2122;height:9404" coordorigin="1308,-99" coordsize="2122,9404" path="m3430,-99r-2122,l1308,7730r,1575l3430,9305r,-1575l3430,-99xe" fillcolor="#deeaf6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308;top:-99;width:2122;height:9404" filled="f" stroked="f">
              <v:textbox inset="0,0,0,0">
                <w:txbxContent>
                  <w:p w:rsidR="00AD3AEB" w:rsidRDefault="00AD3AEB">
                    <w:pPr>
                      <w:spacing w:before="1"/>
                    </w:pPr>
                  </w:p>
                  <w:p w:rsidR="00AD3AEB" w:rsidRDefault="006E5178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RESUMO</w:t>
                    </w: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23180B" w:rsidRDefault="0023180B">
                    <w:pPr>
                      <w:rPr>
                        <w:sz w:val="26"/>
                      </w:rPr>
                    </w:pPr>
                  </w:p>
                  <w:p w:rsidR="0023180B" w:rsidRDefault="0023180B">
                    <w:pPr>
                      <w:rPr>
                        <w:sz w:val="26"/>
                      </w:rPr>
                    </w:pPr>
                  </w:p>
                  <w:p w:rsidR="0023180B" w:rsidRDefault="0023180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spacing w:before="3"/>
                    </w:pPr>
                  </w:p>
                  <w:p w:rsidR="00AD3AEB" w:rsidRDefault="006E5178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OBJETIVOS</w:t>
                    </w:r>
                  </w:p>
                </w:txbxContent>
              </v:textbox>
            </v:shape>
            <w10:wrap anchorx="page"/>
          </v:group>
        </w:pict>
      </w:r>
    </w:p>
    <w:p w:rsidR="00AD3AEB" w:rsidRDefault="006E5178">
      <w:pPr>
        <w:pStyle w:val="Corpsdetexte"/>
        <w:spacing w:before="100"/>
        <w:ind w:left="2335" w:right="98"/>
        <w:jc w:val="both"/>
      </w:pPr>
      <w:r>
        <w:t>Esta sessão fornece orientações a legisladores, decisores políticos e aos seus parceiros de consulta sobre:</w:t>
      </w:r>
    </w:p>
    <w:p w:rsidR="00AD3AEB" w:rsidRDefault="006E5178">
      <w:pPr>
        <w:pStyle w:val="Paragraphedeliste"/>
        <w:numPr>
          <w:ilvl w:val="0"/>
          <w:numId w:val="1"/>
        </w:numPr>
        <w:tabs>
          <w:tab w:val="left" w:pos="2903"/>
        </w:tabs>
        <w:spacing w:before="196" w:line="242" w:lineRule="auto"/>
        <w:jc w:val="both"/>
        <w:rPr>
          <w:sz w:val="24"/>
        </w:rPr>
      </w:pPr>
      <w:r>
        <w:rPr>
          <w:sz w:val="24"/>
        </w:rPr>
        <w:t>Como organizar a elaboração de forma a permitir a participação e consulta de especialistas técnicos e outros intervenientes.</w:t>
      </w:r>
    </w:p>
    <w:p w:rsidR="00AD3AEB" w:rsidRDefault="006E5178">
      <w:pPr>
        <w:pStyle w:val="Paragraphedeliste"/>
        <w:numPr>
          <w:ilvl w:val="0"/>
          <w:numId w:val="1"/>
        </w:numPr>
        <w:tabs>
          <w:tab w:val="left" w:pos="2903"/>
        </w:tabs>
        <w:spacing w:before="0"/>
        <w:jc w:val="both"/>
        <w:rPr>
          <w:sz w:val="24"/>
        </w:rPr>
      </w:pPr>
      <w:r>
        <w:rPr>
          <w:sz w:val="24"/>
        </w:rPr>
        <w:t>Os elementos gerais e a</w:t>
      </w:r>
      <w:r>
        <w:rPr>
          <w:sz w:val="24"/>
        </w:rPr>
        <w:t>s disposições essenciais de um instrumento nacional baseado nos direitos humanos sobre as deslocações internas.</w:t>
      </w:r>
    </w:p>
    <w:p w:rsidR="00AD3AEB" w:rsidRDefault="006E5178">
      <w:pPr>
        <w:pStyle w:val="Corpsdetexte"/>
        <w:spacing w:before="192"/>
        <w:ind w:left="2335" w:right="98"/>
        <w:jc w:val="both"/>
      </w:pPr>
      <w:r>
        <w:t>Esta é a fase que requer mais perícia técnica para assegurar que o processo resulta num instrumento eficaz e legalmente sólido, em conformidade com as normas internacionais. Como tal, o processo de elaboração deve ser cuidadosamente estruturado e organizad</w:t>
      </w:r>
      <w:r>
        <w:t>o e as funções claramente definidas. Um plano de trabalho realista que envolve redatores e parceiros de consulta deve ser implementado desde o início. Também deve permitir a partilha de informação e permitir à agência principal supervisionar um processo qu</w:t>
      </w:r>
      <w:r>
        <w:t>e é inclusivo, transparente e coloca as PDI no centro do mesmo. Os resultados de consultas anteriores com as PDI, a recolha de dados e os exercícios de perfilagem devem estar refletidos no texto final, para que o instrumento defina uma resposta eficaz às c</w:t>
      </w:r>
      <w:r>
        <w:t>aracterísticas específicas da deslocação no país. As consultas efetuadas pelo ACNUR no Iémen levaram a uma melhor compreensão dos problemas enfrentados pelas PDI e à formulação de recomendações que foram tidas em consideração na política nacional.</w:t>
      </w:r>
    </w:p>
    <w:p w:rsidR="00AD3AEB" w:rsidRDefault="006E5178">
      <w:pPr>
        <w:pStyle w:val="Corpsdetexte"/>
        <w:spacing w:before="199" w:line="244" w:lineRule="auto"/>
        <w:ind w:left="2335" w:right="98"/>
        <w:jc w:val="both"/>
      </w:pPr>
      <w:r>
        <w:t>Em termo</w:t>
      </w:r>
      <w:r>
        <w:t>s de conteúdo, as leis e políticas recentemente desenvolvidas no Afeganistão e no Iémen são exemplos de boas práticas.</w:t>
      </w:r>
    </w:p>
    <w:p w:rsidR="00AD3AEB" w:rsidRDefault="006E5178">
      <w:pPr>
        <w:pStyle w:val="Corpsdetexte"/>
        <w:spacing w:before="190"/>
        <w:ind w:left="2335"/>
        <w:jc w:val="both"/>
      </w:pPr>
      <w:r>
        <w:t>No final da sessão, os participantes deverão ser capazes de:</w:t>
      </w: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6"/>
        </w:tabs>
        <w:spacing w:before="201"/>
        <w:jc w:val="both"/>
        <w:rPr>
          <w:sz w:val="24"/>
        </w:rPr>
      </w:pPr>
      <w:r>
        <w:rPr>
          <w:sz w:val="24"/>
        </w:rPr>
        <w:t xml:space="preserve">Planear um processo de elaboração apropriado que garante a participação dos </w:t>
      </w:r>
      <w:r>
        <w:rPr>
          <w:sz w:val="24"/>
        </w:rPr>
        <w:t>intervenientes e a representação das PDI, outros afetados pela deslocação e os seus interesses.</w:t>
      </w:r>
    </w:p>
    <w:p w:rsidR="00AD3AEB" w:rsidRDefault="00AD3AEB">
      <w:pPr>
        <w:jc w:val="both"/>
        <w:rPr>
          <w:sz w:val="24"/>
        </w:rPr>
        <w:sectPr w:rsidR="00AD3AEB">
          <w:type w:val="continuous"/>
          <w:pgSz w:w="11900" w:h="16820"/>
          <w:pgMar w:top="900" w:right="1540" w:bottom="280" w:left="1200" w:header="720" w:footer="720" w:gutter="0"/>
          <w:cols w:space="720"/>
        </w:sectPr>
      </w:pP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192" w:line="244" w:lineRule="auto"/>
        <w:rPr>
          <w:sz w:val="24"/>
        </w:rPr>
      </w:pPr>
      <w:r>
        <w:lastRenderedPageBreak/>
        <w:pict>
          <v:group id="_x0000_s1026" style="position:absolute;left:0;text-align:left;margin-left:65.4pt;margin-top:-.35pt;width:106.1pt;height:464.5pt;z-index:15729152;mso-position-horizontal-relative:page" coordorigin="1308,-7" coordsize="2122,8871">
            <v:shape id="_x0000_s1028" style="position:absolute;left:1308;top:-7;width:2122;height:8871" coordorigin="1308,-7" coordsize="2122,8871" path="m3430,-7r-2122,l1308,1765r,4056l1308,8077r,787l3430,8864r,-787l3430,5821r,-4056l3430,-7xe" fillcolor="#deeaf6" stroked="f">
              <v:path arrowok="t"/>
            </v:shape>
            <v:shape id="_x0000_s1027" type="#_x0000_t202" style="position:absolute;left:1308;top:-7;width:2122;height:8871" filled="f" stroked="f">
              <v:textbox inset="0,0,0,0">
                <w:txbxContent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spacing w:before="3"/>
                      <w:rPr>
                        <w:sz w:val="37"/>
                      </w:rPr>
                    </w:pPr>
                  </w:p>
                  <w:p w:rsidR="00AD3AEB" w:rsidRDefault="006E5178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PRINCIPAIS MENSAGENS</w:t>
                    </w: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spacing w:before="3"/>
                      <w:rPr>
                        <w:sz w:val="25"/>
                      </w:rPr>
                    </w:pPr>
                  </w:p>
                  <w:p w:rsidR="00AD3AEB" w:rsidRDefault="006E5178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DOCUMENTAÇÃO</w:t>
                    </w: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6E5178" w:rsidRDefault="006E5178">
                    <w:pPr>
                      <w:rPr>
                        <w:sz w:val="26"/>
                      </w:rPr>
                    </w:pPr>
                    <w:bookmarkStart w:id="0" w:name="_GoBack"/>
                    <w:bookmarkEnd w:id="0"/>
                  </w:p>
                  <w:p w:rsidR="00AD3AEB" w:rsidRDefault="00AD3AEB">
                    <w:pPr>
                      <w:rPr>
                        <w:sz w:val="26"/>
                      </w:rPr>
                    </w:pPr>
                  </w:p>
                  <w:p w:rsidR="00AD3AEB" w:rsidRDefault="00AD3AEB">
                    <w:pPr>
                      <w:spacing w:before="10"/>
                      <w:rPr>
                        <w:sz w:val="33"/>
                      </w:rPr>
                    </w:pPr>
                  </w:p>
                  <w:p w:rsidR="00AD3AEB" w:rsidRDefault="006E5178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MATERIAL DE APOIO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Enunciar todos os elementos necessários para o instrumento abordar os problemas de deslocação em questão de forma abrangente.</w:t>
      </w: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ind w:right="0" w:hanging="361"/>
        <w:rPr>
          <w:sz w:val="24"/>
        </w:rPr>
      </w:pPr>
      <w:r>
        <w:rPr>
          <w:sz w:val="24"/>
        </w:rPr>
        <w:t>Enunciar os direitos das PDI em todas as fases da deslocação.</w:t>
      </w:r>
    </w:p>
    <w:p w:rsidR="00AD3AEB" w:rsidRDefault="00AD3AEB">
      <w:pPr>
        <w:pStyle w:val="Corpsdetexte"/>
        <w:rPr>
          <w:sz w:val="20"/>
        </w:rPr>
      </w:pPr>
    </w:p>
    <w:p w:rsidR="00AD3AEB" w:rsidRDefault="00AD3AEB">
      <w:pPr>
        <w:pStyle w:val="Corpsdetexte"/>
        <w:spacing w:before="4"/>
        <w:rPr>
          <w:sz w:val="28"/>
        </w:rPr>
      </w:pP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6"/>
        </w:tabs>
        <w:spacing w:before="101"/>
        <w:jc w:val="both"/>
        <w:rPr>
          <w:sz w:val="24"/>
        </w:rPr>
      </w:pPr>
      <w:r>
        <w:rPr>
          <w:sz w:val="24"/>
        </w:rPr>
        <w:t xml:space="preserve">Os redatores principais, eventualmente organizados como comité de </w:t>
      </w:r>
      <w:r>
        <w:rPr>
          <w:sz w:val="24"/>
        </w:rPr>
        <w:t>redação, estão incumbidos de produzir o conteúdo, mas o processo deve também incluir canais de consulta, através dos quais as PDI e outros externos ao processo de elaboração podem informar o resultado.</w:t>
      </w: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6"/>
        </w:tabs>
        <w:spacing w:before="200" w:line="244" w:lineRule="auto"/>
        <w:jc w:val="both"/>
        <w:rPr>
          <w:sz w:val="24"/>
        </w:rPr>
      </w:pPr>
      <w:r>
        <w:rPr>
          <w:sz w:val="24"/>
        </w:rPr>
        <w:t>Um instrumento nacional tem vários princípios gerais e</w:t>
      </w:r>
      <w:r>
        <w:rPr>
          <w:sz w:val="24"/>
        </w:rPr>
        <w:t xml:space="preserve"> disposições essenciais.</w:t>
      </w: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ind w:right="0" w:hanging="361"/>
        <w:rPr>
          <w:sz w:val="24"/>
        </w:rPr>
      </w:pPr>
      <w:r>
        <w:rPr>
          <w:sz w:val="24"/>
        </w:rPr>
        <w:t>Os direitos das PDI devem estar totalmente codificados.</w:t>
      </w: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6"/>
        </w:tabs>
        <w:spacing w:before="201"/>
        <w:jc w:val="both"/>
        <w:rPr>
          <w:sz w:val="24"/>
        </w:rPr>
      </w:pPr>
      <w:r>
        <w:rPr>
          <w:sz w:val="24"/>
        </w:rPr>
        <w:t>O instrumento deve estabelecer medidas para proteger as PDI e identificar as entidades envolvidas no processo.</w:t>
      </w:r>
    </w:p>
    <w:p w:rsidR="00AD3AEB" w:rsidRDefault="00AD3AEB">
      <w:pPr>
        <w:pStyle w:val="Corpsdetexte"/>
        <w:rPr>
          <w:sz w:val="20"/>
        </w:rPr>
      </w:pPr>
    </w:p>
    <w:p w:rsidR="00AD3AEB" w:rsidRDefault="00AD3AEB">
      <w:pPr>
        <w:pStyle w:val="Corpsdetexte"/>
        <w:spacing w:before="10"/>
        <w:rPr>
          <w:sz w:val="22"/>
        </w:rPr>
      </w:pP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5"/>
          <w:tab w:val="left" w:pos="3056"/>
          <w:tab w:val="left" w:pos="5044"/>
          <w:tab w:val="left" w:pos="6217"/>
          <w:tab w:val="left" w:pos="7716"/>
          <w:tab w:val="left" w:pos="8296"/>
        </w:tabs>
        <w:spacing w:before="1" w:line="259" w:lineRule="auto"/>
        <w:rPr>
          <w:i/>
          <w:sz w:val="24"/>
        </w:rPr>
      </w:pPr>
      <w:r>
        <w:rPr>
          <w:i/>
          <w:sz w:val="24"/>
        </w:rPr>
        <w:t>IDMC/Brookings, Instrumentos Nacionais sobre as Deslocações Internas: Guia para o seu Desenvolvimento.</w:t>
      </w: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202"/>
        <w:ind w:right="0" w:hanging="361"/>
        <w:rPr>
          <w:i/>
          <w:sz w:val="24"/>
        </w:rPr>
      </w:pPr>
      <w:r>
        <w:rPr>
          <w:i/>
          <w:sz w:val="24"/>
        </w:rPr>
        <w:t>UIP do ACNUR-, Deslocações Internas: Res</w:t>
      </w:r>
      <w:r>
        <w:rPr>
          <w:i/>
          <w:sz w:val="24"/>
        </w:rPr>
        <w:t>ponsabilidade e Ação.</w:t>
      </w:r>
    </w:p>
    <w:p w:rsidR="00AD3AEB" w:rsidRDefault="006E5178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221" w:line="244" w:lineRule="auto"/>
        <w:rPr>
          <w:i/>
          <w:sz w:val="24"/>
        </w:rPr>
      </w:pPr>
      <w:r>
        <w:rPr>
          <w:i/>
          <w:sz w:val="24"/>
        </w:rPr>
        <w:t>Vozes e perspetivas das PDI: Diálogo Nacional do Iémen, ACNUR, março de 2013.</w:t>
      </w:r>
    </w:p>
    <w:p w:rsidR="00AD3AEB" w:rsidRDefault="00AD3AEB">
      <w:pPr>
        <w:pStyle w:val="Corpsdetexte"/>
        <w:spacing w:before="4"/>
        <w:rPr>
          <w:i/>
          <w:sz w:val="25"/>
        </w:rPr>
      </w:pPr>
    </w:p>
    <w:p w:rsidR="00AD3AEB" w:rsidRDefault="006E5178">
      <w:pPr>
        <w:pStyle w:val="Corpsdetexte"/>
        <w:spacing w:line="244" w:lineRule="auto"/>
        <w:ind w:left="2335" w:right="247"/>
      </w:pPr>
      <w:r>
        <w:t>Resumo e índice da política nacional sobre as PDI do Afeganistão.</w:t>
      </w:r>
    </w:p>
    <w:sectPr w:rsidR="00AD3AEB">
      <w:pgSz w:w="11900" w:h="16820"/>
      <w:pgMar w:top="1420" w:right="15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231E6"/>
    <w:multiLevelType w:val="hybridMultilevel"/>
    <w:tmpl w:val="0AC2FBBA"/>
    <w:lvl w:ilvl="0" w:tplc="DC5C2FDC">
      <w:start w:val="1"/>
      <w:numFmt w:val="decimal"/>
      <w:lvlText w:val="%1."/>
      <w:lvlJc w:val="left"/>
      <w:pPr>
        <w:ind w:left="2902" w:hanging="360"/>
        <w:jc w:val="left"/>
      </w:pPr>
      <w:rPr>
        <w:rFonts w:ascii="Calibri" w:eastAsia="Calibri" w:hAnsi="Calibri" w:cs="Calibri" w:hint="default"/>
        <w:color w:val="44546A"/>
        <w:w w:val="100"/>
        <w:sz w:val="24"/>
        <w:szCs w:val="24"/>
      </w:rPr>
    </w:lvl>
    <w:lvl w:ilvl="1" w:tplc="8FB200E8">
      <w:numFmt w:val="bullet"/>
      <w:lvlText w:val=""/>
      <w:lvlJc w:val="left"/>
      <w:pPr>
        <w:ind w:left="3055" w:hanging="360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2" w:tplc="16BC6C34">
      <w:numFmt w:val="bullet"/>
      <w:lvlText w:val="•"/>
      <w:lvlJc w:val="left"/>
      <w:pPr>
        <w:ind w:left="3737" w:hanging="360"/>
      </w:pPr>
      <w:rPr>
        <w:rFonts w:hint="default"/>
      </w:rPr>
    </w:lvl>
    <w:lvl w:ilvl="3" w:tplc="86A855EC">
      <w:numFmt w:val="bullet"/>
      <w:lvlText w:val="•"/>
      <w:lvlJc w:val="left"/>
      <w:pPr>
        <w:ind w:left="4415" w:hanging="360"/>
      </w:pPr>
      <w:rPr>
        <w:rFonts w:hint="default"/>
      </w:rPr>
    </w:lvl>
    <w:lvl w:ilvl="4" w:tplc="BF1AFF4C">
      <w:numFmt w:val="bullet"/>
      <w:lvlText w:val="•"/>
      <w:lvlJc w:val="left"/>
      <w:pPr>
        <w:ind w:left="5093" w:hanging="360"/>
      </w:pPr>
      <w:rPr>
        <w:rFonts w:hint="default"/>
      </w:rPr>
    </w:lvl>
    <w:lvl w:ilvl="5" w:tplc="BBAC49DE">
      <w:numFmt w:val="bullet"/>
      <w:lvlText w:val="•"/>
      <w:lvlJc w:val="left"/>
      <w:pPr>
        <w:ind w:left="5771" w:hanging="360"/>
      </w:pPr>
      <w:rPr>
        <w:rFonts w:hint="default"/>
      </w:rPr>
    </w:lvl>
    <w:lvl w:ilvl="6" w:tplc="1A0451B4">
      <w:numFmt w:val="bullet"/>
      <w:lvlText w:val="•"/>
      <w:lvlJc w:val="left"/>
      <w:pPr>
        <w:ind w:left="6448" w:hanging="360"/>
      </w:pPr>
      <w:rPr>
        <w:rFonts w:hint="default"/>
      </w:rPr>
    </w:lvl>
    <w:lvl w:ilvl="7" w:tplc="C8DAE7DA">
      <w:numFmt w:val="bullet"/>
      <w:lvlText w:val="•"/>
      <w:lvlJc w:val="left"/>
      <w:pPr>
        <w:ind w:left="7126" w:hanging="360"/>
      </w:pPr>
      <w:rPr>
        <w:rFonts w:hint="default"/>
      </w:rPr>
    </w:lvl>
    <w:lvl w:ilvl="8" w:tplc="253CE93C">
      <w:numFmt w:val="bullet"/>
      <w:lvlText w:val="•"/>
      <w:lvlJc w:val="left"/>
      <w:pPr>
        <w:ind w:left="780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AEB"/>
    <w:rsid w:val="0023180B"/>
    <w:rsid w:val="006E5178"/>
    <w:rsid w:val="00AD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868335D"/>
  <w15:docId w15:val="{5C9BD1F6-FE4C-4BAF-8464-3DF3DFE1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ind w:left="213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190"/>
      <w:ind w:left="3055" w:right="98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2021-01-20T14:27:00Z</dcterms:created>
  <dcterms:modified xsi:type="dcterms:W3CDTF">2021-01-20T14:27:00Z</dcterms:modified>
</cp:coreProperties>
</file>